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2A0075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dt>
      <w:sdtPr>
        <w:rPr>
          <w:rFonts w:ascii="Times New Roman" w:hAnsi="Times New Roman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058A72DD" w:rsidR="002A0075" w:rsidRDefault="002A0075">
          <w:pPr>
            <w:pStyle w:val="TOCHeading"/>
          </w:pPr>
          <w:r>
            <w:t>C</w:t>
          </w:r>
          <w:r w:rsidR="009A68B2">
            <w:t>UPRINS</w:t>
          </w:r>
        </w:p>
        <w:p w14:paraId="5342FB2C" w14:textId="02C8D999" w:rsidR="00571DE9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3783806" w:history="1">
            <w:r w:rsidR="00571DE9" w:rsidRPr="0053648F">
              <w:rPr>
                <w:rStyle w:val="Hyperlink"/>
                <w:rFonts w:eastAsiaTheme="majorEastAsia" w:cstheme="minorHAnsi"/>
                <w:bCs/>
                <w:noProof/>
              </w:rPr>
              <w:t>A.</w:t>
            </w:r>
            <w:r w:rsidR="00571DE9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="00571DE9" w:rsidRPr="0053648F">
              <w:rPr>
                <w:rStyle w:val="Hyperlink"/>
                <w:rFonts w:eastAsiaTheme="majorEastAsia" w:cstheme="minorHAnsi"/>
                <w:bCs/>
                <w:noProof/>
              </w:rPr>
              <w:t>Corelare deviz general si categorii/Subcategorii MYSMIS</w:t>
            </w:r>
            <w:r w:rsidR="00571DE9">
              <w:rPr>
                <w:noProof/>
                <w:webHidden/>
              </w:rPr>
              <w:tab/>
            </w:r>
            <w:r w:rsidR="00571DE9">
              <w:rPr>
                <w:noProof/>
                <w:webHidden/>
              </w:rPr>
              <w:fldChar w:fldCharType="begin"/>
            </w:r>
            <w:r w:rsidR="00571DE9">
              <w:rPr>
                <w:noProof/>
                <w:webHidden/>
              </w:rPr>
              <w:instrText xml:space="preserve"> PAGEREF _Toc153783806 \h </w:instrText>
            </w:r>
            <w:r w:rsidR="00571DE9">
              <w:rPr>
                <w:noProof/>
                <w:webHidden/>
              </w:rPr>
            </w:r>
            <w:r w:rsidR="00571DE9">
              <w:rPr>
                <w:noProof/>
                <w:webHidden/>
              </w:rPr>
              <w:fldChar w:fldCharType="separate"/>
            </w:r>
            <w:r w:rsidR="00276C4D">
              <w:rPr>
                <w:noProof/>
                <w:webHidden/>
              </w:rPr>
              <w:t>2</w:t>
            </w:r>
            <w:r w:rsidR="00571DE9">
              <w:rPr>
                <w:noProof/>
                <w:webHidden/>
              </w:rPr>
              <w:fldChar w:fldCharType="end"/>
            </w:r>
          </w:hyperlink>
        </w:p>
        <w:p w14:paraId="4BAAA35F" w14:textId="2E9D30C4" w:rsidR="00571DE9" w:rsidRDefault="00000000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3783807" w:history="1">
            <w:r w:rsidR="00571DE9" w:rsidRPr="0053648F">
              <w:rPr>
                <w:rStyle w:val="Hyperlink"/>
                <w:rFonts w:eastAsiaTheme="majorEastAsia" w:cstheme="minorHAnsi"/>
                <w:bCs/>
                <w:noProof/>
              </w:rPr>
              <w:t>B.</w:t>
            </w:r>
            <w:r w:rsidR="00571DE9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="00571DE9" w:rsidRPr="0053648F">
              <w:rPr>
                <w:rStyle w:val="Hyperlink"/>
                <w:rFonts w:eastAsiaTheme="majorEastAsia" w:cstheme="minorHAnsi"/>
                <w:bCs/>
                <w:noProof/>
              </w:rPr>
              <w:t>Alte categorii/subcategorii aferente apelurilor de proiecte lansate prin prezentul ghid</w:t>
            </w:r>
            <w:r w:rsidR="00571DE9">
              <w:rPr>
                <w:noProof/>
                <w:webHidden/>
              </w:rPr>
              <w:tab/>
            </w:r>
            <w:r w:rsidR="00571DE9">
              <w:rPr>
                <w:noProof/>
                <w:webHidden/>
              </w:rPr>
              <w:fldChar w:fldCharType="begin"/>
            </w:r>
            <w:r w:rsidR="00571DE9">
              <w:rPr>
                <w:noProof/>
                <w:webHidden/>
              </w:rPr>
              <w:instrText xml:space="preserve"> PAGEREF _Toc153783807 \h </w:instrText>
            </w:r>
            <w:r w:rsidR="00571DE9">
              <w:rPr>
                <w:noProof/>
                <w:webHidden/>
              </w:rPr>
            </w:r>
            <w:r w:rsidR="00571DE9">
              <w:rPr>
                <w:noProof/>
                <w:webHidden/>
              </w:rPr>
              <w:fldChar w:fldCharType="separate"/>
            </w:r>
            <w:r w:rsidR="00276C4D">
              <w:rPr>
                <w:noProof/>
                <w:webHidden/>
              </w:rPr>
              <w:t>4</w:t>
            </w:r>
            <w:r w:rsidR="00571DE9">
              <w:rPr>
                <w:noProof/>
                <w:webHidden/>
              </w:rPr>
              <w:fldChar w:fldCharType="end"/>
            </w:r>
          </w:hyperlink>
        </w:p>
        <w:p w14:paraId="79D56EBD" w14:textId="6C4A4BED" w:rsidR="002A0075" w:rsidRDefault="002A0075">
          <w:r>
            <w:rPr>
              <w:b/>
              <w:bCs/>
            </w:rPr>
            <w:fldChar w:fldCharType="end"/>
          </w:r>
        </w:p>
      </w:sdtContent>
    </w:sdt>
    <w:p w14:paraId="175786BB" w14:textId="77777777" w:rsidR="002A0075" w:rsidRP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</w:pPr>
      <w:bookmarkStart w:id="0" w:name="_Toc153783806"/>
      <w:r w:rsidRPr="002A0075"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  <w:t>Corelare deviz general si categorii/S</w:t>
      </w:r>
      <w:r w:rsidR="002A0075"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  <w:t>ubcategorii</w:t>
      </w:r>
      <w:r w:rsidRPr="002A0075"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  <w:t xml:space="preserve"> MYSMIS</w:t>
      </w:r>
      <w:bookmarkEnd w:id="0"/>
    </w:p>
    <w:p w14:paraId="42B1017A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615" w:type="dxa"/>
        <w:tblLayout w:type="fixed"/>
        <w:tblLook w:val="04A0" w:firstRow="1" w:lastRow="0" w:firstColumn="1" w:lastColumn="0" w:noHBand="0" w:noVBand="1"/>
      </w:tblPr>
      <w:tblGrid>
        <w:gridCol w:w="1075"/>
        <w:gridCol w:w="3240"/>
        <w:gridCol w:w="1167"/>
        <w:gridCol w:w="1146"/>
        <w:gridCol w:w="1311"/>
        <w:gridCol w:w="2676"/>
      </w:tblGrid>
      <w:tr w:rsidR="002667F5" w:rsidRPr="002A0075" w14:paraId="69F50B7B" w14:textId="54BC4DF6" w:rsidTr="00D16C18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2667F5" w:rsidRPr="0066569B" w:rsidRDefault="002667F5" w:rsidP="0066569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2667F5" w:rsidRPr="000F0A28" w:rsidRDefault="002667F5" w:rsidP="006656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Denumirea capitolelor şi subcapitolelor deviz general conform 907/2016</w:t>
            </w:r>
          </w:p>
          <w:p w14:paraId="004EB790" w14:textId="0C6912AB" w:rsidR="002667F5" w:rsidRPr="000F0A28" w:rsidRDefault="002667F5" w:rsidP="0066569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2667F5" w:rsidRPr="000F0A28" w:rsidRDefault="002667F5" w:rsidP="0066569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 </w:t>
            </w:r>
          </w:p>
          <w:p w14:paraId="1CCFA989" w14:textId="069F7B4B" w:rsidR="002667F5" w:rsidRPr="0066569B" w:rsidRDefault="002667F5" w:rsidP="0066569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  <w:r w:rsidR="00D16C1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2014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2667F5" w:rsidRPr="002A0075" w:rsidRDefault="002667F5" w:rsidP="0066569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 </w:t>
            </w:r>
          </w:p>
          <w:p w14:paraId="65A79B13" w14:textId="10C72CB4" w:rsidR="002667F5" w:rsidRPr="0066569B" w:rsidRDefault="002667F5" w:rsidP="007308EA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  <w:r w:rsidR="00D16C1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2014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D8A08A9" w14:textId="77777777" w:rsidR="002667F5" w:rsidRDefault="002667F5" w:rsidP="002667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2FAB0100" w14:textId="3B0AB585" w:rsidR="002667F5" w:rsidRPr="0066569B" w:rsidRDefault="002667F5" w:rsidP="002667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2667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2667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MySMIS2021</w:t>
            </w:r>
            <w:r w:rsidR="009E193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/SMIS</w:t>
            </w:r>
            <w:r w:rsidRPr="002667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2021+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05A69E7" w14:textId="77777777" w:rsidR="002667F5" w:rsidRDefault="002667F5" w:rsidP="0066569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  <w:p w14:paraId="5707BE71" w14:textId="1B611A9B" w:rsidR="002667F5" w:rsidRPr="0066569B" w:rsidRDefault="002667F5" w:rsidP="002667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2667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2667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MySMIS2021</w:t>
            </w:r>
            <w:r w:rsidR="009E193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/SMIS</w:t>
            </w:r>
            <w:r w:rsidRPr="002667F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2021+</w:t>
            </w:r>
          </w:p>
        </w:tc>
      </w:tr>
      <w:tr w:rsidR="002667F5" w:rsidRPr="002A0075" w14:paraId="14E3AAC7" w14:textId="5F21DA5A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3EF26" w14:textId="42672F19" w:rsidR="002667F5" w:rsidRPr="002A0075" w:rsidRDefault="002667F5" w:rsidP="0066569B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5A14" w14:textId="2CEB1281" w:rsidR="002667F5" w:rsidRPr="002A0075" w:rsidRDefault="002667F5" w:rsidP="0066569B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710B0" w14:textId="77777777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808BA" w14:textId="77777777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A01E7" w14:textId="77777777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29EB7" w14:textId="77777777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2667F5" w:rsidRPr="002A0075" w14:paraId="146BE7EF" w14:textId="354F9B29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2667F5" w:rsidRPr="0066569B" w:rsidRDefault="002667F5" w:rsidP="0066569B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2667F5" w:rsidRPr="0066569B" w:rsidRDefault="002667F5" w:rsidP="0066569B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terenului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3660E94B" w:rsidR="002667F5" w:rsidRPr="0066569B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1266D" w14:textId="6952866D" w:rsidR="002667F5" w:rsidRPr="0066569B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9DFCD7" w14:textId="4E77519D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667F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05514" w14:textId="0C2CA0C6" w:rsidR="002667F5" w:rsidRPr="002A0075" w:rsidRDefault="002667F5" w:rsidP="0066569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667F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1.1. </w:t>
            </w:r>
            <w:proofErr w:type="spellStart"/>
            <w:r w:rsidRPr="002667F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Obtinerea</w:t>
            </w:r>
            <w:proofErr w:type="spellEnd"/>
            <w:r w:rsidRPr="002667F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667F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</w:tc>
      </w:tr>
      <w:tr w:rsidR="002667F5" w:rsidRPr="002A0075" w14:paraId="07384AD4" w14:textId="09CCAA4C" w:rsidTr="00D16C18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2667F5" w:rsidRPr="0066569B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2667F5" w:rsidRPr="0066569B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246F83B" w:rsidR="002667F5" w:rsidRPr="0066569B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27ADEBE4" w:rsidR="002667F5" w:rsidRPr="0066569B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FD2F1" w14:textId="7E05E3D0" w:rsidR="002667F5" w:rsidRPr="0066569B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DEAC6" w14:textId="5BAB3582" w:rsidR="002667F5" w:rsidRPr="0066569B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1.2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</w:tc>
      </w:tr>
      <w:tr w:rsidR="002667F5" w:rsidRPr="002A0075" w14:paraId="761950D8" w14:textId="2A145425" w:rsidTr="00D16C18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2667F5" w:rsidRPr="002A0075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2667F5" w:rsidRPr="000F0A28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Amenajari pentru protectia mediului si aducerea la starea initiala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63F586D" w:rsidR="002667F5" w:rsidRPr="002A0075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57303C31" w:rsidR="002667F5" w:rsidRPr="002A0075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39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C93A7" w14:textId="7EFD7AE7" w:rsidR="002667F5" w:rsidRPr="0066569B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CDB57" w14:textId="1D0E543A" w:rsidR="002667F5" w:rsidRPr="00FA5A27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1.3 Amenajări pentru protecţia mediului şi aducerea terenului la starea iniţială</w:t>
            </w:r>
          </w:p>
        </w:tc>
      </w:tr>
      <w:tr w:rsidR="002667F5" w:rsidRPr="002A0075" w14:paraId="760BF466" w14:textId="61A798E2" w:rsidTr="00D16C18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2667F5" w:rsidRPr="002A0075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1.4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2667F5" w:rsidRPr="00C57E5F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C57E5F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Cheltuieli pentru relocarea și protectia utilitatilor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45F04447" w:rsidR="002667F5" w:rsidRPr="00C57E5F" w:rsidRDefault="00644F49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C57E5F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755A3970" w:rsidR="002667F5" w:rsidRPr="00C57E5F" w:rsidRDefault="00644F49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C57E5F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6D584" w14:textId="2BB086C9" w:rsidR="002667F5" w:rsidRPr="00C57E5F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C57E5F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0EEBD" w14:textId="26A50CC7" w:rsidR="002667F5" w:rsidRPr="000F0A28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  <w:lang w:val="it-IT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1.4 Cheltuieli pentru relocarea/protecţia utilităţilor</w:t>
            </w:r>
          </w:p>
        </w:tc>
      </w:tr>
      <w:tr w:rsidR="002667F5" w:rsidRPr="002A0075" w14:paraId="64ED1557" w14:textId="39F3C44B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5A29D" w14:textId="595D1F8D" w:rsidR="002667F5" w:rsidRPr="002A0075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C5013" w14:textId="6DA81E97" w:rsidR="002667F5" w:rsidRPr="000F0A28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pt asigurarea utilităţilor necesare obiectivului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2742F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01547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E5293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BE3FFF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2667F5" w:rsidRPr="002A0075" w14:paraId="4002E00B" w14:textId="38A9EFCE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2667F5" w:rsidRPr="0066569B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2667F5" w:rsidRPr="000F0A28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Cheltuieli pentru asigurarea utilitatilor necesare obiectivului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77777777" w:rsidR="002667F5" w:rsidRPr="0066569B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77777777" w:rsidR="002667F5" w:rsidRPr="0066569B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516FD" w14:textId="3521E9D6" w:rsidR="002667F5" w:rsidRPr="0066569B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18754" w14:textId="6AD54E37" w:rsidR="002667F5" w:rsidRPr="00FA5A27" w:rsidRDefault="00FA5A27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2 - Cheltuieli pentru asigurarea utilităţilor necesare obiectivului de investiţii</w:t>
            </w:r>
          </w:p>
        </w:tc>
      </w:tr>
      <w:tr w:rsidR="002667F5" w:rsidRPr="002A0075" w14:paraId="57A35CC6" w14:textId="3A918505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BA647" w14:textId="2BA3C1C1" w:rsidR="002667F5" w:rsidRPr="0066569B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6C8A3" w14:textId="12370F50" w:rsidR="002667F5" w:rsidRPr="000F0A28" w:rsidRDefault="002667F5" w:rsidP="003E3060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pentru proiectare și asistență tehnică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C712D" w14:textId="44ADFFD1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EA02C" w14:textId="6AE09481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A7C55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8F30B" w14:textId="77777777" w:rsidR="002667F5" w:rsidRPr="000F0A28" w:rsidRDefault="002667F5" w:rsidP="003E306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2667F5" w:rsidRPr="002A0075" w14:paraId="584D72DC" w14:textId="1B80F239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5411C03D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4808BA7A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EBD39E" w14:textId="77777777" w:rsidR="002667F5" w:rsidRPr="0066569B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D926AF" w14:textId="77777777" w:rsidR="002667F5" w:rsidRPr="0066569B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2667F5" w:rsidRPr="002A0075" w14:paraId="08BFCFBB" w14:textId="71ADE754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3.1.1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385E4330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134464FA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203C7" w14:textId="20432822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086F7" w14:textId="68BA0AE4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3.1.1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Studii</w:t>
            </w:r>
            <w:proofErr w:type="spellEnd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teren</w:t>
            </w:r>
            <w:proofErr w:type="spellEnd"/>
          </w:p>
        </w:tc>
      </w:tr>
      <w:tr w:rsidR="002667F5" w:rsidRPr="002A0075" w14:paraId="5C910C8E" w14:textId="3E96788A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3.1.2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2ED3D73A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FF4AB28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9C0EA" w14:textId="3C814D86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B1290" w14:textId="13B89677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3.1.2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Raport</w:t>
            </w:r>
            <w:proofErr w:type="spellEnd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privind</w:t>
            </w:r>
            <w:proofErr w:type="spellEnd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impactul</w:t>
            </w:r>
            <w:proofErr w:type="spellEnd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asupra</w:t>
            </w:r>
            <w:proofErr w:type="spellEnd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</w:p>
        </w:tc>
      </w:tr>
      <w:tr w:rsidR="002667F5" w:rsidRPr="002A0075" w14:paraId="768C40C5" w14:textId="3123DC48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3.1.3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2667F5" w:rsidRPr="002A0075" w:rsidRDefault="002667F5" w:rsidP="00771BFC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53208C8C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22BCB8CB" w:rsidR="002667F5" w:rsidRPr="002A0075" w:rsidRDefault="002667F5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9D719" w14:textId="6611B41E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671F3" w14:textId="63301FFB" w:rsidR="002667F5" w:rsidRPr="0066569B" w:rsidRDefault="00FA5A27" w:rsidP="00771BF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4048A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3.1.3. Alte </w:t>
            </w:r>
            <w:proofErr w:type="spellStart"/>
            <w:r w:rsidRPr="00E4048A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studii</w:t>
            </w:r>
            <w:proofErr w:type="spellEnd"/>
            <w:r w:rsidRPr="00E4048A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048A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specifice</w:t>
            </w:r>
            <w:proofErr w:type="spellEnd"/>
          </w:p>
        </w:tc>
      </w:tr>
      <w:tr w:rsidR="00FA5A27" w:rsidRPr="002A0075" w14:paraId="137CF310" w14:textId="230E4F2C" w:rsidTr="00D16C18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FA5A27" w:rsidRPr="0066569B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FA5A27" w:rsidRPr="000F0A28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Documentatii suport si  cheltuieli pentru obtinerea de avize, acorduri, autorizatii 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77777777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77777777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DF77B2" w14:textId="3CDEE810" w:rsidR="00FA5A27" w:rsidRPr="00D459CD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0000EE" w14:textId="4E797A3D" w:rsidR="00FA5A27" w:rsidRPr="00FA5A27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3.2 Documentaţii-suport şi cheltuieli pentru obţinerea de avize, acorduri şi autorizații</w:t>
            </w:r>
          </w:p>
        </w:tc>
      </w:tr>
      <w:tr w:rsidR="00FA5A27" w:rsidRPr="002A0075" w14:paraId="0363F91F" w14:textId="5630A245" w:rsidTr="00D16C18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Expertiză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1E597CD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1FFD5B08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A5A27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0CAFD2F" w14:textId="696F66EE" w:rsidR="00FA5A27" w:rsidRPr="00D459CD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2CE1BFE" w14:textId="71CC9BF7" w:rsidR="00FA5A27" w:rsidRPr="00D459CD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3.3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Expertizare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</w:p>
        </w:tc>
      </w:tr>
      <w:tr w:rsidR="00FA5A27" w:rsidRPr="002A0075" w14:paraId="43464E75" w14:textId="58149A77" w:rsidTr="00D16C18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FA5A27" w:rsidRPr="000F0A28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Certificarea de performanței energetice și auditul energetic al clădirilor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7F4F8448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2892B18C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1D6396C" w14:textId="246AE93C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976B41A" w14:textId="34826E2D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3.4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Certificarea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performanţei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energetice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clădirilor</w:t>
            </w:r>
            <w:proofErr w:type="spellEnd"/>
          </w:p>
        </w:tc>
      </w:tr>
      <w:tr w:rsidR="00FA5A27" w:rsidRPr="002A0075" w14:paraId="3C4D572C" w14:textId="49E8205D" w:rsidTr="00D16C18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C569AAF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79FF96BB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8390289" w14:textId="77777777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2E5E3C" w14:textId="77777777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FA5A27" w:rsidRPr="002A0075" w14:paraId="5580DF1B" w14:textId="32E20475" w:rsidTr="00D16C18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Temă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76C149C2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70378060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11E6" w14:textId="2BC8136B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BC1F" w14:textId="359DC8A9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3.5.1 Tema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proiectare</w:t>
            </w:r>
            <w:proofErr w:type="spellEnd"/>
          </w:p>
        </w:tc>
      </w:tr>
      <w:tr w:rsidR="00FA5A27" w:rsidRPr="002A0075" w14:paraId="37BDF667" w14:textId="402AACE8" w:rsidTr="00D16C18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FA5A27" w:rsidRPr="002A0075" w:rsidRDefault="00FA5A27" w:rsidP="00FA5A2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1C44C81B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15BD7693" w:rsidR="00FA5A27" w:rsidRPr="002A0075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A8BB2" w14:textId="14065A35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0A3C" w14:textId="52BF6245" w:rsidR="00FA5A27" w:rsidRPr="0066569B" w:rsidRDefault="00FA5A27" w:rsidP="00FA5A27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3.5.2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Studiu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</w:tr>
      <w:tr w:rsidR="00133249" w:rsidRPr="002A0075" w14:paraId="376CA7D5" w14:textId="40ED845A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4C05E830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</w:t>
            </w: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tudiu de fezabilitate/documentație de avizare a lucrărilor de intervenții și deviz general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207A92D0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195EEBE3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9A067" w14:textId="2B481B83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4164" w14:textId="08542D96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3.5.3. Studiu de fezabilitate/documentaţie de avizare a lucrărilor de intervenţii şi deviz general</w:t>
            </w:r>
          </w:p>
        </w:tc>
      </w:tr>
      <w:tr w:rsidR="00133249" w:rsidRPr="002A0075" w14:paraId="07FF9CB5" w14:textId="2C088B38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11AFB803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ocumentațiile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tehnice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necesare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în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vederea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obținerii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avizelor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acordurilor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autorizațiilor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698C3163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424F9F9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1F0B" w14:textId="4064D69F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C0C7" w14:textId="778A6D19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3.5.4.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Documentaţiile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tehnice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necesare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în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vederea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obţinerii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avizelor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acordurilor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autorizaţiilor</w:t>
            </w:r>
            <w:proofErr w:type="spellEnd"/>
          </w:p>
        </w:tc>
      </w:tr>
      <w:tr w:rsidR="00133249" w:rsidRPr="002A0075" w14:paraId="4528A08F" w14:textId="2FDD7F8A" w:rsidTr="00D16C18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3.5.5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6077F8C3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erificarea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tehnică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calitate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proiectului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detaliilor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execuție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03A98081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18B38DE3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32FE" w14:textId="46EEC9C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A487" w14:textId="51C074FE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3.5.5.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Verificarea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calitate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proiectului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tehnic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detaliilor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execuţie</w:t>
            </w:r>
            <w:proofErr w:type="spellEnd"/>
          </w:p>
        </w:tc>
      </w:tr>
      <w:tr w:rsidR="00133249" w:rsidRPr="002A0075" w14:paraId="184C85D0" w14:textId="4C1EAF40" w:rsidTr="00D16C18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lastRenderedPageBreak/>
              <w:t>3.5.6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0FBE9E8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roiect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detalii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execuție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3B56F9B5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12B67018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00AAD" w14:textId="73D2C218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0CC8" w14:textId="776D001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3.5.6.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tehnic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detalii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execuţie</w:t>
            </w:r>
            <w:proofErr w:type="spellEnd"/>
          </w:p>
        </w:tc>
      </w:tr>
      <w:tr w:rsidR="00133249" w:rsidRPr="000264FD" w14:paraId="4405C549" w14:textId="44952907" w:rsidTr="00D16C18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Organizarea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procedurilor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achiziție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4C27F829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1BBBCAE9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red"/>
                <w:lang w:val="en-US"/>
              </w:rPr>
            </w:pPr>
            <w:r w:rsidRPr="0013324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A5A171" w14:textId="714EE381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953B940" w14:textId="7A7AB2E3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3.6.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Organizarea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procedurilor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achiziţie</w:t>
            </w:r>
            <w:proofErr w:type="spellEnd"/>
          </w:p>
        </w:tc>
      </w:tr>
      <w:tr w:rsidR="00133249" w:rsidRPr="002A0075" w14:paraId="5AD7B681" w14:textId="0BF69F93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Consultanta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7F486454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173DEF9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D0C0854" w14:textId="77777777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547D48" w14:textId="77777777" w:rsidR="00133249" w:rsidRPr="000264FD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</w:p>
        </w:tc>
      </w:tr>
      <w:tr w:rsidR="00133249" w:rsidRPr="002A0075" w14:paraId="12E7A8D4" w14:textId="3756F372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3.7.1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Managementul de proiect pentru obiectivul de investitii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77FF4919" w:rsidR="00133249" w:rsidRPr="00F37DE2" w:rsidRDefault="00803D73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131BDEDC" w:rsidR="00133249" w:rsidRPr="00F37DE2" w:rsidRDefault="00803D73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</w:t>
            </w:r>
            <w:r w:rsidR="00FB40E6"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C4129" w14:textId="22185E06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3069" w14:textId="1BDBDDB4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3.7.1 Managementul de proiect pentru obiectivul de investiţii</w:t>
            </w:r>
          </w:p>
        </w:tc>
      </w:tr>
      <w:tr w:rsidR="00133249" w:rsidRPr="002A0075" w14:paraId="2F759AF6" w14:textId="573BF75F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3.7.2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financiar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A208D67" w:rsidR="00133249" w:rsidRPr="00F37DE2" w:rsidRDefault="00FB40E6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16FA62B8" w:rsidR="00133249" w:rsidRPr="00F37DE2" w:rsidRDefault="00FB40E6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</w:t>
            </w:r>
            <w:r w:rsidR="00133249" w:rsidRPr="00F37DE2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8D6B" w14:textId="18203741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DF70" w14:textId="26F48A5D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</w:tc>
      </w:tr>
      <w:tr w:rsidR="00133249" w:rsidRPr="002A0075" w14:paraId="00CB2881" w14:textId="07C1A30F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Asistenta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78DD0E25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9AD4FD9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F1BB3ED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A9921FC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33249" w:rsidRPr="002A0075" w14:paraId="392AA7A1" w14:textId="4FB9887A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3.8.1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Asistenta tehnica din partea proiectantului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47FBDB4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68E8BB5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9F64" w14:textId="37F4056F" w:rsidR="00133249" w:rsidRPr="00EA0800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988C" w14:textId="2781563B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3.8.1. Asistenţă tehnică din partea proiectantului</w:t>
            </w:r>
          </w:p>
        </w:tc>
      </w:tr>
      <w:tr w:rsidR="00133249" w:rsidRPr="002A0075" w14:paraId="2E8B9AF7" w14:textId="20A9FFBD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3.8.2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Dirigintie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santier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1BA8FB1B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AA895DC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0E26" w14:textId="698A014F" w:rsidR="00133249" w:rsidRPr="00EA0800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4B713" w14:textId="6E612F54" w:rsidR="00133249" w:rsidRPr="00EA0800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3.8.2.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Dirigenţie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şantier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supervizare</w:t>
            </w:r>
            <w:proofErr w:type="spellEnd"/>
          </w:p>
        </w:tc>
      </w:tr>
      <w:tr w:rsidR="00133249" w:rsidRPr="002A0075" w14:paraId="507EA5DA" w14:textId="79B01D54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F2F3E" w14:textId="1A09C460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44200" w14:textId="7FFBA824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pentru investiţia de bază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48535" w14:textId="3B3DBEEE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70099" w14:textId="513D644D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BDF2C" w14:textId="77777777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22004" w14:textId="77777777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133249" w:rsidRPr="002A0075" w14:paraId="0930A1B3" w14:textId="73732712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A1586" w14:textId="54143757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Construcţii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instalaţii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2B995461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6C186F91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F2AC6" w14:textId="2142C865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ED3DA" w14:textId="1A0E8A0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4.1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</w:p>
        </w:tc>
      </w:tr>
      <w:tr w:rsidR="00133249" w:rsidRPr="002A0075" w14:paraId="14B73ECE" w14:textId="050224D8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Montaj echipamente, echipamnete tehnologice si functionale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4055A2DB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3055865F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AEB5" w14:textId="312314AE" w:rsidR="00133249" w:rsidRPr="00EA0800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335B" w14:textId="29DD1AA6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4.2 Montaj utilaje, echipamente tehnologice şi funcţionale</w:t>
            </w:r>
          </w:p>
        </w:tc>
      </w:tr>
      <w:tr w:rsidR="00133249" w:rsidRPr="002A0075" w14:paraId="05F0EEC6" w14:textId="0C5B0F71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Utilaje, echipamente tehnologice si functionale care necesita montaj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0101551A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2B2A7B7F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5911" w14:textId="60227E2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0C50" w14:textId="264E82A6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4.3 Utilaje, echipamente tehnologice şi funcţionale care necesită montaj</w:t>
            </w:r>
          </w:p>
        </w:tc>
      </w:tr>
      <w:tr w:rsidR="00133249" w:rsidRPr="002A0075" w14:paraId="13E263D3" w14:textId="78211D9E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Utilaje, echipamente tehnologice si functionale care nu necesita montaj si echipamente de transport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193E499D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059ACA8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E920" w14:textId="79318928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3E52" w14:textId="7C67C887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4.4 Utilaje, echipamente tehnologice şi funcţionale care nu necesită montaj şi echipamente de transport</w:t>
            </w:r>
          </w:p>
        </w:tc>
      </w:tr>
      <w:tr w:rsidR="00133249" w:rsidRPr="002A0075" w14:paraId="2CCFC399" w14:textId="51B59672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Dotări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AB29" w14:textId="239D2AD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7845" w14:textId="5F813513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4.5 </w:t>
            </w:r>
            <w:proofErr w:type="spellStart"/>
            <w:r w:rsidRPr="00E2304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Dotări</w:t>
            </w:r>
            <w:proofErr w:type="spellEnd"/>
          </w:p>
        </w:tc>
      </w:tr>
      <w:tr w:rsidR="00133249" w:rsidRPr="002A0075" w14:paraId="49CE634D" w14:textId="0967B547" w:rsidTr="00D16C18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4B07961B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4.</w:t>
            </w:r>
            <w:r w:rsidR="00803D7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Active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necorporale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7B690" w14:textId="525C8DFF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CHELTUIELI CU ACTIVE NECORPORALE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21FD6" w14:textId="676B9AA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4.6 Active </w:t>
            </w:r>
            <w:proofErr w:type="spellStart"/>
            <w:r w:rsidRPr="001332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necorporale</w:t>
            </w:r>
            <w:proofErr w:type="spellEnd"/>
          </w:p>
        </w:tc>
      </w:tr>
      <w:tr w:rsidR="00133249" w:rsidRPr="002A0075" w14:paraId="6688A8D8" w14:textId="68AC33AD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B98CDF" w14:textId="24998B60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E2640" w14:textId="3949044D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Alte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5E00A78" w14:textId="77777777" w:rsidR="00133249" w:rsidRPr="0066569B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EFE8D89" w14:textId="77777777" w:rsidR="00133249" w:rsidRPr="0066569B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165A8" w14:textId="77777777" w:rsidR="00133249" w:rsidRPr="0066569B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75302" w14:textId="77777777" w:rsidR="00133249" w:rsidRPr="0066569B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33249" w:rsidRPr="002A0075" w14:paraId="718FA49E" w14:textId="1848416E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Organizare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133249" w:rsidRPr="002A0075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133249" w:rsidRPr="002A0075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C4D5E7C" w14:textId="77777777" w:rsidR="00133249" w:rsidRPr="002A0075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702DA4D" w14:textId="77777777" w:rsidR="00133249" w:rsidRPr="002A0075" w:rsidRDefault="00133249" w:rsidP="00133249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33249" w:rsidRPr="002A0075" w14:paraId="4CD8816B" w14:textId="337D7E6F" w:rsidTr="00D16C18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5.1.1.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Lucrari de constructii si instalatii aferente organizarii de santier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F0E21" w14:textId="2B0F8A45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84695" w14:textId="0E38407A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5.1.1 Lucrări de construcţii şi instalaţii aferente organizării de şantier</w:t>
            </w:r>
          </w:p>
        </w:tc>
      </w:tr>
      <w:tr w:rsidR="00133249" w:rsidRPr="002A0075" w14:paraId="20C346F1" w14:textId="6B68AF4C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5.1.2.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Cheltuieli conexe organizării de şantier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58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A8A86" w14:textId="7B0B41A5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9E97A" w14:textId="79E242A6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5.1.2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şantierului</w:t>
            </w:r>
            <w:proofErr w:type="spellEnd"/>
          </w:p>
        </w:tc>
      </w:tr>
      <w:tr w:rsidR="00133249" w:rsidRPr="002A0075" w14:paraId="3F3B461B" w14:textId="3F1EB254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Comisioane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cote,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taxe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55876EC4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7AC2586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  <w:tr w:rsidR="00133249" w:rsidRPr="002A0075" w14:paraId="55B79B2E" w14:textId="42283376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104398D7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omisioanele și dobânzile aferente creditului băncii finanțatoare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6D058FE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51F2CC9B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6F167" w14:textId="60290D12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B0F09" w14:textId="21E75C75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5.2.1. Comisioanele şi dobânzile aferente creditului băncii finanţatoare</w:t>
            </w:r>
          </w:p>
        </w:tc>
      </w:tr>
      <w:tr w:rsidR="00133249" w:rsidRPr="002A0075" w14:paraId="00A52266" w14:textId="298C8597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07B9095D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ota aferentă Inspectoratului de Stat în Construcții, calculată potrivit prevederilor </w:t>
            </w:r>
            <w:r>
              <w:fldChar w:fldCharType="begin"/>
            </w:r>
            <w:r>
              <w:instrText>HYPERLINK "https://legislatie.just.ro/Public/DetaliiDocumentAfis/184771"</w:instrText>
            </w:r>
            <w:r>
              <w:fldChar w:fldCharType="separate"/>
            </w:r>
            <w:r w:rsidRPr="002A0075">
              <w:rPr>
                <w:rStyle w:val="Hyperlink"/>
                <w:rFonts w:asciiTheme="minorHAnsi" w:eastAsia="MS Mincho" w:hAnsiTheme="minorHAnsi" w:cstheme="minorHAnsi"/>
                <w:color w:val="428BCA"/>
                <w:sz w:val="18"/>
                <w:szCs w:val="18"/>
                <w:bdr w:val="none" w:sz="0" w:space="0" w:color="auto" w:frame="1"/>
                <w:shd w:val="clear" w:color="auto" w:fill="FFFFFF"/>
              </w:rPr>
              <w:t>Legii nr. 10/1995</w:t>
            </w:r>
            <w:r>
              <w:rPr>
                <w:rStyle w:val="Hyperlink"/>
                <w:rFonts w:asciiTheme="minorHAnsi" w:eastAsia="MS Mincho" w:hAnsiTheme="minorHAnsi" w:cstheme="minorHAnsi"/>
                <w:color w:val="428BCA"/>
                <w:sz w:val="18"/>
                <w:szCs w:val="18"/>
                <w:bdr w:val="none" w:sz="0" w:space="0" w:color="auto" w:frame="1"/>
                <w:shd w:val="clear" w:color="auto" w:fill="FFFFFF"/>
              </w:rPr>
              <w:fldChar w:fldCharType="end"/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6AA0495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2229C806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301D3" w14:textId="0EE84F5A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DC9F9" w14:textId="0138EA4B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5.2.2 Cota aferentă ISC pentru controlul calităţii lucrărilor de construcţii</w:t>
            </w:r>
          </w:p>
        </w:tc>
      </w:tr>
      <w:tr w:rsidR="00133249" w:rsidRPr="002A0075" w14:paraId="0EE7D6DF" w14:textId="536A204F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4931178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ota aferentă Inspectoratului de Stat în Construcții, calculată potrivit prevederilor </w:t>
            </w:r>
            <w:r>
              <w:fldChar w:fldCharType="begin"/>
            </w:r>
            <w:r>
              <w:instrText>HYPERLINK "https://legislatie.just.ro/Public/DetaliiDocumentAfis/184771"</w:instrText>
            </w:r>
            <w:r>
              <w:fldChar w:fldCharType="separate"/>
            </w:r>
            <w:r w:rsidRPr="002A0075">
              <w:rPr>
                <w:rStyle w:val="Hyperlink"/>
                <w:rFonts w:asciiTheme="minorHAnsi" w:eastAsia="MS Mincho" w:hAnsiTheme="minorHAnsi" w:cstheme="minorHAnsi"/>
                <w:color w:val="428BCA"/>
                <w:sz w:val="18"/>
                <w:szCs w:val="18"/>
                <w:bdr w:val="none" w:sz="0" w:space="0" w:color="auto" w:frame="1"/>
                <w:shd w:val="clear" w:color="auto" w:fill="FFFFFF"/>
              </w:rPr>
              <w:t>Legii nr. 50/1991</w:t>
            </w:r>
            <w:r>
              <w:rPr>
                <w:rStyle w:val="Hyperlink"/>
                <w:rFonts w:asciiTheme="minorHAnsi" w:eastAsia="MS Mincho" w:hAnsiTheme="minorHAnsi" w:cstheme="minorHAnsi"/>
                <w:color w:val="428BCA"/>
                <w:sz w:val="18"/>
                <w:szCs w:val="18"/>
                <w:bdr w:val="none" w:sz="0" w:space="0" w:color="auto" w:frame="1"/>
                <w:shd w:val="clear" w:color="auto" w:fill="FFFFFF"/>
              </w:rPr>
              <w:fldChar w:fldCharType="end"/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37EB63F9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5C672078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A5ADB" w14:textId="56B7DA1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66226" w14:textId="6637499F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5.2.3. Cota aferentă ISC pentru controlul statului în amenajarea teritoriului, urbanism şi pentru autorizarea lucrărilor de construcţii</w:t>
            </w:r>
          </w:p>
        </w:tc>
      </w:tr>
      <w:tr w:rsidR="00133249" w:rsidRPr="002A0075" w14:paraId="059DE13F" w14:textId="57D01169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5.2.4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5023CE4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ota aferentă Casei Sociale a Constructorilor - CSC, în aplicarea prevederilor </w:t>
            </w:r>
            <w:r>
              <w:fldChar w:fldCharType="begin"/>
            </w:r>
            <w:r>
              <w:instrText>HYPERLINK "https://legislatie.just.ro/Public/DetaliiDocumentAfis/12101"</w:instrText>
            </w:r>
            <w:r>
              <w:fldChar w:fldCharType="separate"/>
            </w:r>
            <w:r w:rsidRPr="002A0075">
              <w:rPr>
                <w:rStyle w:val="Hyperlink"/>
                <w:rFonts w:asciiTheme="minorHAnsi" w:eastAsia="MS Mincho" w:hAnsiTheme="minorHAnsi" w:cstheme="minorHAnsi"/>
                <w:color w:val="428BCA"/>
                <w:sz w:val="18"/>
                <w:szCs w:val="18"/>
                <w:bdr w:val="none" w:sz="0" w:space="0" w:color="auto" w:frame="1"/>
                <w:shd w:val="clear" w:color="auto" w:fill="FFFFFF"/>
              </w:rPr>
              <w:t>Legii nr. 215/1997</w:t>
            </w:r>
            <w:r>
              <w:rPr>
                <w:rStyle w:val="Hyperlink"/>
                <w:rFonts w:asciiTheme="minorHAnsi" w:eastAsia="MS Mincho" w:hAnsiTheme="minorHAnsi" w:cstheme="minorHAnsi"/>
                <w:color w:val="428BCA"/>
                <w:sz w:val="18"/>
                <w:szCs w:val="18"/>
                <w:bdr w:val="none" w:sz="0" w:space="0" w:color="auto" w:frame="1"/>
                <w:shd w:val="clear" w:color="auto" w:fill="FFFFFF"/>
              </w:rPr>
              <w:fldChar w:fldCharType="end"/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B5593B3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1D1040C0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9CAD8" w14:textId="39C574BD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8DF88" w14:textId="671C372C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5.2.4. Cota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Casei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Sociale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Constructorilor</w:t>
            </w:r>
            <w:proofErr w:type="spellEnd"/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- CSC</w:t>
            </w:r>
          </w:p>
        </w:tc>
      </w:tr>
      <w:tr w:rsidR="00133249" w:rsidRPr="002A0075" w14:paraId="29E44105" w14:textId="74E43DF1" w:rsidTr="00D16C18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lastRenderedPageBreak/>
              <w:t>5.2.5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29067255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</w:t>
            </w: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axe pentru acorduri, avize conforme și autorizația de construire/desființare.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1390D00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3588906E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CF8370" w14:textId="2B44F51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94913" w14:textId="0F7B30F3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5.2.5. Taxe pentru acorduri, avize conforme şi autorizaţia de construire/desfiinţare</w:t>
            </w:r>
          </w:p>
        </w:tc>
      </w:tr>
      <w:tr w:rsidR="00133249" w:rsidRPr="002A0075" w14:paraId="651A76C8" w14:textId="11E547EE" w:rsidTr="00D16C18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5.3.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neprevăzute</w:t>
            </w:r>
            <w:proofErr w:type="spellEnd"/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0159CF29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7777777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60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B80F495" w14:textId="7D1E96DB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40529D6" w14:textId="198E5708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5.3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neprevăzute</w:t>
            </w:r>
            <w:proofErr w:type="spellEnd"/>
          </w:p>
        </w:tc>
      </w:tr>
      <w:tr w:rsidR="00133249" w:rsidRPr="002A0075" w14:paraId="407473B0" w14:textId="7522CF4E" w:rsidTr="00D16C18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5.4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Cheltuieli cu activitățile obligatorii de publicitate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1755279B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8DD1CC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5282A01" w14:textId="31F4DE6E" w:rsidR="00133249" w:rsidRPr="0066569B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5377D800" w14:textId="1A05E8FF" w:rsidR="00133249" w:rsidRPr="00133249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5.4 Cheltuieli pentru informare şi publicitate</w:t>
            </w:r>
          </w:p>
        </w:tc>
      </w:tr>
      <w:tr w:rsidR="00133249" w:rsidRPr="002A0075" w14:paraId="711E6651" w14:textId="37A64ACC" w:rsidTr="00D16C18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133249" w:rsidRPr="0066569B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CAP. 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133249" w:rsidRPr="000F0A28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 pentru probe tehnologice si teste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59154" w14:textId="77777777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042F0" w14:textId="77777777" w:rsidR="00133249" w:rsidRPr="000F0A28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133249" w:rsidRPr="002A0075" w14:paraId="25699AF7" w14:textId="1664A7F7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Pregatirea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personalului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exploatare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163C781D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5DD1FC2A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4CCC" w14:textId="3A56F2F6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59BE" w14:textId="34B3A182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6.1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Pregatirea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personalului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exploatare</w:t>
            </w:r>
            <w:proofErr w:type="spellEnd"/>
          </w:p>
        </w:tc>
      </w:tr>
      <w:tr w:rsidR="00133249" w:rsidRPr="002A0075" w14:paraId="2E7F366E" w14:textId="595B970A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Probe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41045A9D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143B012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294C" w14:textId="4301B575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47FE" w14:textId="339B1CC0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6.2 Probe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si</w:t>
            </w:r>
            <w:proofErr w:type="spellEnd"/>
            <w:r w:rsidRPr="00AF2049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teste</w:t>
            </w:r>
          </w:p>
        </w:tc>
      </w:tr>
      <w:tr w:rsidR="00133249" w:rsidRPr="002A0075" w14:paraId="24F9D128" w14:textId="03DCA5E8" w:rsidTr="00D16C18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133249" w:rsidRPr="002A0075" w:rsidRDefault="00133249" w:rsidP="001332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88354" w14:textId="7777777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56576" w14:textId="77777777" w:rsidR="00133249" w:rsidRPr="002A0075" w:rsidRDefault="00133249" w:rsidP="00133249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5875FCD" w14:textId="7EAB010F" w:rsidR="0066569B" w:rsidRPr="002A0075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2A0075">
        <w:rPr>
          <w:rFonts w:asciiTheme="minorHAnsi" w:hAnsiTheme="minorHAnsi" w:cstheme="minorHAnsi"/>
          <w:b/>
          <w:caps/>
          <w:sz w:val="18"/>
          <w:szCs w:val="18"/>
        </w:rPr>
        <w:br w:type="textWrapping" w:clear="all"/>
      </w:r>
    </w:p>
    <w:p w14:paraId="0154867A" w14:textId="54A20F5D" w:rsidR="00F45A34" w:rsidRPr="002A0075" w:rsidRDefault="00F45A3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0B5E693D" w:rsidR="00F45A34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</w:pPr>
      <w:bookmarkStart w:id="1" w:name="_Toc153783807"/>
      <w:r w:rsidRPr="002A0075">
        <w:rPr>
          <w:rFonts w:asciiTheme="minorHAnsi" w:eastAsiaTheme="majorEastAsia" w:hAnsiTheme="minorHAnsi" w:cstheme="minorHAnsi"/>
          <w:bCs/>
          <w:smallCaps w:val="0"/>
          <w:color w:val="365F91" w:themeColor="accent1" w:themeShade="BF"/>
          <w:szCs w:val="32"/>
        </w:rPr>
        <w:t>Alte categorii/subcategorii aferente apelurilor de proiecte lansate prin prezentul ghid</w:t>
      </w:r>
      <w:bookmarkEnd w:id="1"/>
    </w:p>
    <w:p w14:paraId="608BEBC7" w14:textId="77777777" w:rsidR="006B63EB" w:rsidRPr="002A0075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Pr="002A0075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2985"/>
        <w:gridCol w:w="1170"/>
        <w:gridCol w:w="1170"/>
        <w:gridCol w:w="2107"/>
        <w:gridCol w:w="2107"/>
      </w:tblGrid>
      <w:tr w:rsidR="00133249" w:rsidRPr="002A0075" w14:paraId="2C3E087E" w14:textId="1BCBF97B" w:rsidTr="004053F3">
        <w:trPr>
          <w:trHeight w:val="288"/>
        </w:trPr>
        <w:tc>
          <w:tcPr>
            <w:tcW w:w="1166" w:type="dxa"/>
            <w:shd w:val="clear" w:color="auto" w:fill="auto"/>
            <w:noWrap/>
          </w:tcPr>
          <w:p w14:paraId="758F33CD" w14:textId="063DE27E" w:rsidR="00133249" w:rsidRPr="002A0075" w:rsidRDefault="00133249" w:rsidP="004B72C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bookmarkStart w:id="2" w:name="_Hlk150512197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2985" w:type="dxa"/>
            <w:shd w:val="clear" w:color="000000" w:fill="FFFFFF"/>
          </w:tcPr>
          <w:p w14:paraId="11C339A5" w14:textId="2BA5BADB" w:rsidR="00133249" w:rsidRPr="000F0A28" w:rsidRDefault="00133249" w:rsidP="004B72C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Denumirea capitolelor şi subcapitolelor de cheltuieli</w:t>
            </w:r>
          </w:p>
        </w:tc>
        <w:tc>
          <w:tcPr>
            <w:tcW w:w="1170" w:type="dxa"/>
            <w:shd w:val="clear" w:color="auto" w:fill="auto"/>
            <w:noWrap/>
          </w:tcPr>
          <w:p w14:paraId="09873C0C" w14:textId="1401F48B" w:rsidR="00133249" w:rsidRPr="002A0075" w:rsidRDefault="00133249" w:rsidP="004B72C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</w:tcPr>
          <w:p w14:paraId="24174851" w14:textId="2DB9D0D4" w:rsidR="00133249" w:rsidRPr="002A0075" w:rsidRDefault="00133249" w:rsidP="004B72C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2107" w:type="dxa"/>
          </w:tcPr>
          <w:p w14:paraId="02E445D0" w14:textId="3EBD80CA" w:rsidR="00133249" w:rsidRPr="0066569B" w:rsidRDefault="00133249" w:rsidP="004B72C3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3324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13324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MySMIS2021</w:t>
            </w:r>
            <w:r w:rsidR="009E193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/SMIS</w:t>
            </w:r>
            <w:r w:rsidRPr="0013324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2021+</w:t>
            </w:r>
          </w:p>
        </w:tc>
        <w:tc>
          <w:tcPr>
            <w:tcW w:w="2107" w:type="dxa"/>
          </w:tcPr>
          <w:p w14:paraId="7B2EB0B5" w14:textId="75294DA4" w:rsidR="00133249" w:rsidRPr="0066569B" w:rsidRDefault="00073DAD" w:rsidP="004B72C3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073DA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073DA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MySMIS2021</w:t>
            </w:r>
            <w:r w:rsidR="009E193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/SMIS</w:t>
            </w:r>
            <w:r w:rsidRPr="00073DA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n-US"/>
              </w:rPr>
              <w:t>2021+</w:t>
            </w:r>
          </w:p>
        </w:tc>
      </w:tr>
      <w:tr w:rsidR="00073DAD" w:rsidRPr="002A0075" w14:paraId="25783B43" w14:textId="369BDECA" w:rsidTr="004053F3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2940732E" w14:textId="2EC35656" w:rsidR="00073DAD" w:rsidRPr="0066569B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 xml:space="preserve">CAP. </w:t>
            </w:r>
            <w:r w:rsidR="00644F4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2985" w:type="dxa"/>
            <w:shd w:val="clear" w:color="auto" w:fill="auto"/>
          </w:tcPr>
          <w:p w14:paraId="288F7837" w14:textId="65D432C0" w:rsidR="00073DAD" w:rsidRPr="000F0A28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0F0A2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Cheltuieli aferente managementului de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23039AEB" w14:textId="6F4408AC" w:rsidR="00073DAD" w:rsidRPr="000F0A28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70" w:type="dxa"/>
            <w:shd w:val="clear" w:color="auto" w:fill="auto"/>
            <w:noWrap/>
          </w:tcPr>
          <w:p w14:paraId="5C5AE10B" w14:textId="6D36ED8C" w:rsidR="00073DAD" w:rsidRPr="000F0A28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07" w:type="dxa"/>
          </w:tcPr>
          <w:p w14:paraId="10A3A717" w14:textId="77777777" w:rsidR="00073DAD" w:rsidRPr="000F0A28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07" w:type="dxa"/>
          </w:tcPr>
          <w:p w14:paraId="14BEACF3" w14:textId="77777777" w:rsidR="00073DAD" w:rsidRPr="000F0A28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</w:p>
        </w:tc>
      </w:tr>
      <w:tr w:rsidR="00073DAD" w:rsidRPr="002A0075" w14:paraId="1969F217" w14:textId="71FD9747" w:rsidTr="004053F3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10865222" w14:textId="5B31FEDF" w:rsidR="00073DAD" w:rsidRPr="002A0075" w:rsidRDefault="00644F49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  <w:r w:rsidR="00073DAD"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.1.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0C099F32" w14:textId="77F161C9" w:rsidR="00073DAD" w:rsidRPr="002A0075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682D0785" w14:textId="4D0B00E5" w:rsidR="00073DAD" w:rsidRPr="002A0075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</w:tcPr>
          <w:p w14:paraId="228668A9" w14:textId="1BED65BB" w:rsidR="00073DAD" w:rsidRPr="002A0075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2107" w:type="dxa"/>
            <w:shd w:val="clear" w:color="auto" w:fill="auto"/>
          </w:tcPr>
          <w:p w14:paraId="50CFF2DF" w14:textId="7537613A" w:rsidR="00073DAD" w:rsidRPr="002A0075" w:rsidRDefault="00705305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70530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CHELTUIELI SALARIALE</w:t>
            </w:r>
          </w:p>
        </w:tc>
        <w:tc>
          <w:tcPr>
            <w:tcW w:w="2107" w:type="dxa"/>
            <w:shd w:val="clear" w:color="auto" w:fill="auto"/>
          </w:tcPr>
          <w:p w14:paraId="28A1770E" w14:textId="66774836" w:rsidR="00073DAD" w:rsidRPr="00073DAD" w:rsidRDefault="00705305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705305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Cheltuieli salariale cu echipa de management de proiect</w:t>
            </w:r>
          </w:p>
        </w:tc>
      </w:tr>
      <w:tr w:rsidR="00073DAD" w:rsidRPr="002A0075" w14:paraId="3E8D137C" w14:textId="55611C17" w:rsidTr="004053F3">
        <w:trPr>
          <w:trHeight w:val="288"/>
        </w:trPr>
        <w:tc>
          <w:tcPr>
            <w:tcW w:w="1166" w:type="dxa"/>
            <w:shd w:val="clear" w:color="auto" w:fill="auto"/>
            <w:noWrap/>
            <w:hideMark/>
          </w:tcPr>
          <w:p w14:paraId="107915E7" w14:textId="6025047C" w:rsidR="00073DAD" w:rsidRPr="0066569B" w:rsidRDefault="00644F49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  <w:r w:rsidR="00073DAD"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.2.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104A0594" w14:textId="52AC3CFD" w:rsidR="00073DAD" w:rsidRPr="000F0A28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2C4BD43" w14:textId="16BDC9B5" w:rsidR="00073DAD" w:rsidRPr="0066569B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09D532F" w14:textId="47F9C2B8" w:rsidR="00073DAD" w:rsidRPr="0066569B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073DA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2107" w:type="dxa"/>
            <w:shd w:val="clear" w:color="auto" w:fill="auto"/>
          </w:tcPr>
          <w:p w14:paraId="5F007E81" w14:textId="6DB7C23D" w:rsidR="00073DAD" w:rsidRPr="00F04E5D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2107" w:type="dxa"/>
            <w:shd w:val="clear" w:color="auto" w:fill="auto"/>
          </w:tcPr>
          <w:p w14:paraId="097F8D8D" w14:textId="79E95050" w:rsidR="00073DAD" w:rsidRPr="00705305" w:rsidRDefault="00705305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705305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Cheltuieli cu deplasarea pentru personal propriu și experți implicați în implementarea proiectului</w:t>
            </w:r>
          </w:p>
        </w:tc>
      </w:tr>
      <w:tr w:rsidR="00073DAD" w:rsidRPr="002A0075" w14:paraId="60F68078" w14:textId="7D6622F9" w:rsidTr="004053F3">
        <w:trPr>
          <w:trHeight w:val="552"/>
        </w:trPr>
        <w:tc>
          <w:tcPr>
            <w:tcW w:w="1166" w:type="dxa"/>
            <w:shd w:val="clear" w:color="auto" w:fill="auto"/>
            <w:noWrap/>
            <w:hideMark/>
          </w:tcPr>
          <w:p w14:paraId="45314B9F" w14:textId="55ACE9D0" w:rsidR="00073DAD" w:rsidRPr="0066569B" w:rsidRDefault="00644F49" w:rsidP="00073DAD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  <w:r w:rsidR="00073DAD"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</w:t>
            </w:r>
            <w:r w:rsidR="00073DAD" w:rsidRPr="0066569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0F2EE8DC" w14:textId="5C5EC634" w:rsidR="00073DAD" w:rsidRPr="000F0A28" w:rsidRDefault="00073DAD" w:rsidP="00073DAD">
            <w:pPr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5A7E816" w14:textId="417D9516" w:rsidR="00073DAD" w:rsidRPr="0066569B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57F5541" w14:textId="6D7FF7E8" w:rsidR="00073DAD" w:rsidRPr="0066569B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073DAD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2107" w:type="dxa"/>
            <w:shd w:val="clear" w:color="auto" w:fill="auto"/>
          </w:tcPr>
          <w:p w14:paraId="36DB439C" w14:textId="6C6E041F" w:rsidR="00073DAD" w:rsidRPr="00F04E5D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en-US"/>
              </w:rPr>
            </w:pPr>
            <w:r w:rsidRPr="00BD6C81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107" w:type="dxa"/>
            <w:shd w:val="clear" w:color="auto" w:fill="auto"/>
          </w:tcPr>
          <w:p w14:paraId="5258B8F8" w14:textId="705B09A8" w:rsidR="00073DAD" w:rsidRPr="00073DAD" w:rsidRDefault="00073DAD" w:rsidP="00073DAD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highlight w:val="red"/>
                <w:lang w:val="it-IT"/>
              </w:rPr>
            </w:pP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Cheltuieli cu achiziția de active fixe corporale (altele decât terenuri</w:t>
            </w:r>
            <w:r w:rsidR="00C6425E"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 xml:space="preserve"> și </w:t>
            </w:r>
            <w:r w:rsidRPr="00962E00"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  <w:t>imobile), obiecte de inventar, materiale consumabile</w:t>
            </w:r>
          </w:p>
        </w:tc>
      </w:tr>
      <w:tr w:rsidR="004053F3" w:rsidRPr="002A0075" w14:paraId="30A87211" w14:textId="77777777" w:rsidTr="004053F3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166A200D" w14:textId="3E9CA7DA" w:rsidR="004053F3" w:rsidRDefault="004053F3" w:rsidP="004053F3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7.4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005C4BBF" w14:textId="4D33B32C" w:rsidR="004053F3" w:rsidRPr="002A0075" w:rsidRDefault="004053F3" w:rsidP="004053F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053F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6FD29AA0" w14:textId="7913993D" w:rsidR="004053F3" w:rsidRPr="002A0075" w:rsidRDefault="004053F3" w:rsidP="00705305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</w:tcPr>
          <w:p w14:paraId="7D82EDD3" w14:textId="6C7F6364" w:rsidR="004053F3" w:rsidRPr="00073DAD" w:rsidRDefault="004053F3" w:rsidP="004053F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2107" w:type="dxa"/>
            <w:shd w:val="clear" w:color="auto" w:fill="auto"/>
          </w:tcPr>
          <w:p w14:paraId="22EAB010" w14:textId="6CD47337" w:rsidR="004053F3" w:rsidRPr="00BD6C81" w:rsidRDefault="004053F3" w:rsidP="004053F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4053F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CHELTUIELI CU SERVICII</w:t>
            </w:r>
          </w:p>
        </w:tc>
        <w:tc>
          <w:tcPr>
            <w:tcW w:w="2107" w:type="dxa"/>
            <w:shd w:val="clear" w:color="auto" w:fill="auto"/>
          </w:tcPr>
          <w:p w14:paraId="20712BC2" w14:textId="1F5879FE" w:rsidR="004053F3" w:rsidRPr="00962E00" w:rsidRDefault="004053F3" w:rsidP="004053F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it-IT"/>
              </w:rPr>
            </w:pPr>
            <w:r w:rsidRPr="004053F3">
              <w:rPr>
                <w:rFonts w:asciiTheme="minorHAnsi" w:hAnsiTheme="minorHAnsi" w:cstheme="minorHAnsi"/>
                <w:color w:val="000000"/>
                <w:sz w:val="20"/>
                <w:szCs w:val="20"/>
                <w:lang w:val="it-IT"/>
              </w:rPr>
              <w:t>Cheltuieli cu servicii de management proiect</w:t>
            </w:r>
          </w:p>
        </w:tc>
      </w:tr>
      <w:bookmarkEnd w:id="2"/>
    </w:tbl>
    <w:p w14:paraId="335789A4" w14:textId="77777777" w:rsidR="002425CD" w:rsidRDefault="002425CD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4882ED5D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824A9AD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176542A5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6576BEF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2D3E0D6" w14:textId="77777777" w:rsidR="00644F49" w:rsidRDefault="00644F49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5171E47" w14:textId="77777777" w:rsidR="00D16C18" w:rsidRDefault="00D16C18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4ACEB50" w14:textId="77777777" w:rsidR="00D16C18" w:rsidRDefault="00D16C18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B3C1DB1" w14:textId="77777777" w:rsidR="00D16C18" w:rsidRDefault="00D16C18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2F046C3E" w14:textId="77777777" w:rsidR="0085246D" w:rsidRPr="002A0075" w:rsidRDefault="0085246D" w:rsidP="009A68B2">
      <w:pPr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2A0075" w:rsidSect="006B63EB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22C4D" w14:textId="77777777" w:rsidR="00636D8A" w:rsidRDefault="00636D8A" w:rsidP="0056790C">
      <w:r>
        <w:separator/>
      </w:r>
    </w:p>
  </w:endnote>
  <w:endnote w:type="continuationSeparator" w:id="0">
    <w:p w14:paraId="287E94EE" w14:textId="77777777" w:rsidR="00636D8A" w:rsidRDefault="00636D8A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7255311"/>
      <w:docPartObj>
        <w:docPartGallery w:val="Page Numbers (Bottom of Page)"/>
        <w:docPartUnique/>
      </w:docPartObj>
    </w:sdtPr>
    <w:sdtContent>
      <w:p w14:paraId="7A6A761E" w14:textId="215715FE" w:rsidR="0037607D" w:rsidRDefault="003760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818">
          <w:t>4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FCDF1" w14:textId="77777777" w:rsidR="00636D8A" w:rsidRDefault="00636D8A" w:rsidP="0056790C">
      <w:r>
        <w:separator/>
      </w:r>
    </w:p>
  </w:footnote>
  <w:footnote w:type="continuationSeparator" w:id="0">
    <w:p w14:paraId="0B091337" w14:textId="77777777" w:rsidR="00636D8A" w:rsidRDefault="00636D8A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0EFBEF57" w:rsidR="00A55654" w:rsidRPr="0066569B" w:rsidRDefault="0066569B" w:rsidP="0066569B">
    <w:pPr>
      <w:pStyle w:val="Header"/>
      <w:jc w:val="right"/>
      <w:rPr>
        <w:b/>
        <w:color w:val="00B0F0"/>
      </w:rPr>
    </w:pPr>
    <w:r w:rsidRPr="0066569B">
      <w:rPr>
        <w:rFonts w:cstheme="minorHAnsi"/>
        <w:b/>
        <w:iCs/>
        <w:color w:val="00B0F0"/>
      </w:rPr>
      <w:t>Anexa 2.2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968">
    <w:abstractNumId w:val="3"/>
  </w:num>
  <w:num w:numId="2" w16cid:durableId="1934900823">
    <w:abstractNumId w:val="2"/>
  </w:num>
  <w:num w:numId="3" w16cid:durableId="1890994042">
    <w:abstractNumId w:val="4"/>
  </w:num>
  <w:num w:numId="4" w16cid:durableId="101668668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A45"/>
    <w:rsid w:val="00022505"/>
    <w:rsid w:val="000264FD"/>
    <w:rsid w:val="00033C96"/>
    <w:rsid w:val="00054CDA"/>
    <w:rsid w:val="000606EA"/>
    <w:rsid w:val="00060DCA"/>
    <w:rsid w:val="00060F38"/>
    <w:rsid w:val="00073DAD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0F0A28"/>
    <w:rsid w:val="001005D4"/>
    <w:rsid w:val="00114E73"/>
    <w:rsid w:val="00123F2A"/>
    <w:rsid w:val="00133249"/>
    <w:rsid w:val="00163A8E"/>
    <w:rsid w:val="00181556"/>
    <w:rsid w:val="001B0B85"/>
    <w:rsid w:val="001C00B2"/>
    <w:rsid w:val="001D6A4F"/>
    <w:rsid w:val="001F11C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667F5"/>
    <w:rsid w:val="00276C4D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5EC8"/>
    <w:rsid w:val="00346C46"/>
    <w:rsid w:val="00355BA3"/>
    <w:rsid w:val="0037607D"/>
    <w:rsid w:val="00391BAD"/>
    <w:rsid w:val="003C3A62"/>
    <w:rsid w:val="003D0557"/>
    <w:rsid w:val="003D7BE7"/>
    <w:rsid w:val="003E3060"/>
    <w:rsid w:val="004053F3"/>
    <w:rsid w:val="00405466"/>
    <w:rsid w:val="00407920"/>
    <w:rsid w:val="00415099"/>
    <w:rsid w:val="00422FC6"/>
    <w:rsid w:val="00424999"/>
    <w:rsid w:val="00436838"/>
    <w:rsid w:val="004375E9"/>
    <w:rsid w:val="0046133B"/>
    <w:rsid w:val="00462C5E"/>
    <w:rsid w:val="00463DDD"/>
    <w:rsid w:val="004650BE"/>
    <w:rsid w:val="004871D0"/>
    <w:rsid w:val="00492B7C"/>
    <w:rsid w:val="0049526A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1DE9"/>
    <w:rsid w:val="00573815"/>
    <w:rsid w:val="0058237A"/>
    <w:rsid w:val="005953C0"/>
    <w:rsid w:val="005A72D9"/>
    <w:rsid w:val="005B53D7"/>
    <w:rsid w:val="005D6E0D"/>
    <w:rsid w:val="005E553F"/>
    <w:rsid w:val="005F7281"/>
    <w:rsid w:val="00636D8A"/>
    <w:rsid w:val="00636EEE"/>
    <w:rsid w:val="0064278D"/>
    <w:rsid w:val="00644F49"/>
    <w:rsid w:val="00657BBE"/>
    <w:rsid w:val="0066569B"/>
    <w:rsid w:val="00675E5E"/>
    <w:rsid w:val="00680713"/>
    <w:rsid w:val="006928C6"/>
    <w:rsid w:val="00693585"/>
    <w:rsid w:val="006B63EB"/>
    <w:rsid w:val="006B6BE2"/>
    <w:rsid w:val="006C5B66"/>
    <w:rsid w:val="006D3B48"/>
    <w:rsid w:val="006E53AE"/>
    <w:rsid w:val="006F2C42"/>
    <w:rsid w:val="00705305"/>
    <w:rsid w:val="007138AA"/>
    <w:rsid w:val="0072540B"/>
    <w:rsid w:val="00725571"/>
    <w:rsid w:val="007409DB"/>
    <w:rsid w:val="00740B52"/>
    <w:rsid w:val="00746A9C"/>
    <w:rsid w:val="00771BFC"/>
    <w:rsid w:val="00780D0D"/>
    <w:rsid w:val="0078507D"/>
    <w:rsid w:val="007B2E26"/>
    <w:rsid w:val="007E33A0"/>
    <w:rsid w:val="007E37AA"/>
    <w:rsid w:val="00803D73"/>
    <w:rsid w:val="0080439A"/>
    <w:rsid w:val="00805B25"/>
    <w:rsid w:val="00814235"/>
    <w:rsid w:val="00814A14"/>
    <w:rsid w:val="00815C88"/>
    <w:rsid w:val="00815E4F"/>
    <w:rsid w:val="00823463"/>
    <w:rsid w:val="00830CE6"/>
    <w:rsid w:val="008372F4"/>
    <w:rsid w:val="00845719"/>
    <w:rsid w:val="008517F9"/>
    <w:rsid w:val="0085246D"/>
    <w:rsid w:val="00871C80"/>
    <w:rsid w:val="0087290B"/>
    <w:rsid w:val="00875B52"/>
    <w:rsid w:val="00882765"/>
    <w:rsid w:val="008B5B40"/>
    <w:rsid w:val="008B7A20"/>
    <w:rsid w:val="008E58C7"/>
    <w:rsid w:val="008F2A6D"/>
    <w:rsid w:val="008F3BAF"/>
    <w:rsid w:val="008F680A"/>
    <w:rsid w:val="00901051"/>
    <w:rsid w:val="00902A86"/>
    <w:rsid w:val="00905F26"/>
    <w:rsid w:val="00907D9E"/>
    <w:rsid w:val="009212D5"/>
    <w:rsid w:val="00933706"/>
    <w:rsid w:val="00940966"/>
    <w:rsid w:val="00940AFA"/>
    <w:rsid w:val="00952FF6"/>
    <w:rsid w:val="00961FC8"/>
    <w:rsid w:val="009622E8"/>
    <w:rsid w:val="00984701"/>
    <w:rsid w:val="009976EE"/>
    <w:rsid w:val="009A68B2"/>
    <w:rsid w:val="009A7E53"/>
    <w:rsid w:val="009D31F4"/>
    <w:rsid w:val="009E1938"/>
    <w:rsid w:val="00A0033D"/>
    <w:rsid w:val="00A01424"/>
    <w:rsid w:val="00A11B18"/>
    <w:rsid w:val="00A303DC"/>
    <w:rsid w:val="00A34968"/>
    <w:rsid w:val="00A55654"/>
    <w:rsid w:val="00A56160"/>
    <w:rsid w:val="00A76D77"/>
    <w:rsid w:val="00A9259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BF5579"/>
    <w:rsid w:val="00C138D5"/>
    <w:rsid w:val="00C27C9D"/>
    <w:rsid w:val="00C32438"/>
    <w:rsid w:val="00C37BA9"/>
    <w:rsid w:val="00C46232"/>
    <w:rsid w:val="00C57E5F"/>
    <w:rsid w:val="00C6425E"/>
    <w:rsid w:val="00C64CDF"/>
    <w:rsid w:val="00C87690"/>
    <w:rsid w:val="00CB33E3"/>
    <w:rsid w:val="00CB46D4"/>
    <w:rsid w:val="00CE4C2F"/>
    <w:rsid w:val="00CF2AFF"/>
    <w:rsid w:val="00D050E1"/>
    <w:rsid w:val="00D05177"/>
    <w:rsid w:val="00D16C18"/>
    <w:rsid w:val="00D21181"/>
    <w:rsid w:val="00D22E93"/>
    <w:rsid w:val="00D43251"/>
    <w:rsid w:val="00D459CD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D4E4F"/>
    <w:rsid w:val="00DE29E6"/>
    <w:rsid w:val="00DE4DC9"/>
    <w:rsid w:val="00DE60C4"/>
    <w:rsid w:val="00E24987"/>
    <w:rsid w:val="00E33146"/>
    <w:rsid w:val="00E35E75"/>
    <w:rsid w:val="00E4048A"/>
    <w:rsid w:val="00E40FF3"/>
    <w:rsid w:val="00E720EF"/>
    <w:rsid w:val="00E81A5A"/>
    <w:rsid w:val="00E855D4"/>
    <w:rsid w:val="00EA0452"/>
    <w:rsid w:val="00EA0800"/>
    <w:rsid w:val="00EA142A"/>
    <w:rsid w:val="00EA3C16"/>
    <w:rsid w:val="00EB1670"/>
    <w:rsid w:val="00EB7908"/>
    <w:rsid w:val="00EC6371"/>
    <w:rsid w:val="00EC7B4A"/>
    <w:rsid w:val="00ED0CDB"/>
    <w:rsid w:val="00EE2537"/>
    <w:rsid w:val="00F04E5D"/>
    <w:rsid w:val="00F13418"/>
    <w:rsid w:val="00F13525"/>
    <w:rsid w:val="00F32818"/>
    <w:rsid w:val="00F37DE2"/>
    <w:rsid w:val="00F40442"/>
    <w:rsid w:val="00F45A34"/>
    <w:rsid w:val="00F534D4"/>
    <w:rsid w:val="00F76CDE"/>
    <w:rsid w:val="00F92D83"/>
    <w:rsid w:val="00F940D0"/>
    <w:rsid w:val="00FA5A27"/>
    <w:rsid w:val="00FB40E6"/>
    <w:rsid w:val="00FB5718"/>
    <w:rsid w:val="00FC152D"/>
    <w:rsid w:val="00FC4F9F"/>
    <w:rsid w:val="00FD199C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AA97E-86FB-4067-AB39-A4CEEFBE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</Pages>
  <Words>1156</Words>
  <Characters>6590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Octavia Moldovan</cp:lastModifiedBy>
  <cp:revision>29</cp:revision>
  <cp:lastPrinted>2023-12-18T11:21:00Z</cp:lastPrinted>
  <dcterms:created xsi:type="dcterms:W3CDTF">2017-05-12T11:17:00Z</dcterms:created>
  <dcterms:modified xsi:type="dcterms:W3CDTF">2023-12-18T11:38:00Z</dcterms:modified>
</cp:coreProperties>
</file>